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794C65" w14:textId="77777777" w:rsidR="00E65A31" w:rsidRPr="00B35DE0" w:rsidRDefault="00E65A31" w:rsidP="00E65A31">
      <w:pPr>
        <w:pBdr>
          <w:top w:val="nil"/>
          <w:left w:val="nil"/>
          <w:bottom w:val="nil"/>
          <w:right w:val="nil"/>
          <w:between w:val="nil"/>
        </w:pBdr>
        <w:spacing w:line="240" w:lineRule="auto"/>
        <w:jc w:val="center"/>
        <w:rPr>
          <w:rFonts w:ascii="Arial" w:eastAsia="Arial" w:hAnsi="Arial" w:cs="Arial"/>
          <w:b/>
          <w:color w:val="000000"/>
          <w:sz w:val="20"/>
          <w:szCs w:val="20"/>
        </w:rPr>
      </w:pPr>
      <w:r w:rsidRPr="00B35DE0">
        <w:rPr>
          <w:rFonts w:ascii="Arial" w:eastAsia="Arial" w:hAnsi="Arial" w:cs="Arial"/>
          <w:b/>
          <w:color w:val="000000"/>
          <w:sz w:val="20"/>
          <w:szCs w:val="20"/>
        </w:rPr>
        <w:t>ROS ASSAY KİT</w:t>
      </w:r>
    </w:p>
    <w:p w14:paraId="3674A7F7" w14:textId="77777777" w:rsidR="00E65A31" w:rsidRPr="00B35DE0" w:rsidRDefault="00E65A31" w:rsidP="00E65A31">
      <w:pPr>
        <w:numPr>
          <w:ilvl w:val="0"/>
          <w:numId w:val="1"/>
        </w:numPr>
        <w:pBdr>
          <w:top w:val="nil"/>
          <w:left w:val="nil"/>
          <w:bottom w:val="nil"/>
          <w:right w:val="nil"/>
          <w:between w:val="nil"/>
        </w:pBdr>
        <w:spacing w:line="240" w:lineRule="auto"/>
        <w:rPr>
          <w:rFonts w:ascii="Arial" w:hAnsi="Arial" w:cs="Arial"/>
          <w:color w:val="000000"/>
          <w:sz w:val="20"/>
          <w:szCs w:val="20"/>
        </w:rPr>
      </w:pPr>
      <w:r w:rsidRPr="00B35DE0">
        <w:rPr>
          <w:rFonts w:ascii="Arial" w:hAnsi="Arial" w:cs="Arial"/>
          <w:color w:val="000000"/>
          <w:sz w:val="20"/>
          <w:szCs w:val="20"/>
        </w:rPr>
        <w:t xml:space="preserve">Reaktif Oksijen Türleri (ROS) </w:t>
      </w: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floresan </w:t>
      </w:r>
      <w:proofErr w:type="spellStart"/>
      <w:r w:rsidRPr="00B35DE0">
        <w:rPr>
          <w:rFonts w:ascii="Arial" w:hAnsi="Arial" w:cs="Arial"/>
          <w:color w:val="000000"/>
          <w:sz w:val="20"/>
          <w:szCs w:val="20"/>
        </w:rPr>
        <w:t>mikroplaka</w:t>
      </w:r>
      <w:proofErr w:type="spellEnd"/>
      <w:r w:rsidRPr="00B35DE0">
        <w:rPr>
          <w:rFonts w:ascii="Arial" w:hAnsi="Arial" w:cs="Arial"/>
          <w:color w:val="000000"/>
          <w:sz w:val="20"/>
          <w:szCs w:val="20"/>
        </w:rPr>
        <w:t xml:space="preserve"> okuyucu, floresan mikroskobu veya akış </w:t>
      </w:r>
      <w:proofErr w:type="spellStart"/>
      <w:r w:rsidRPr="00B35DE0">
        <w:rPr>
          <w:rFonts w:ascii="Arial" w:hAnsi="Arial" w:cs="Arial"/>
          <w:color w:val="000000"/>
          <w:sz w:val="20"/>
          <w:szCs w:val="20"/>
        </w:rPr>
        <w:t>sitometresi</w:t>
      </w:r>
      <w:proofErr w:type="spellEnd"/>
      <w:r w:rsidRPr="00B35DE0">
        <w:rPr>
          <w:rFonts w:ascii="Arial" w:hAnsi="Arial" w:cs="Arial"/>
          <w:color w:val="000000"/>
          <w:sz w:val="20"/>
          <w:szCs w:val="20"/>
        </w:rPr>
        <w:t xml:space="preserve"> kullanılarak taze doku </w:t>
      </w:r>
      <w:proofErr w:type="spellStart"/>
      <w:r w:rsidRPr="00B35DE0">
        <w:rPr>
          <w:rFonts w:ascii="Arial" w:hAnsi="Arial" w:cs="Arial"/>
          <w:color w:val="000000"/>
          <w:sz w:val="20"/>
          <w:szCs w:val="20"/>
        </w:rPr>
        <w:t>homojenatları</w:t>
      </w:r>
      <w:proofErr w:type="spellEnd"/>
      <w:r w:rsidRPr="00B35DE0">
        <w:rPr>
          <w:rFonts w:ascii="Arial" w:hAnsi="Arial" w:cs="Arial"/>
          <w:color w:val="000000"/>
          <w:sz w:val="20"/>
          <w:szCs w:val="20"/>
        </w:rPr>
        <w:t xml:space="preserve"> ve kültürlenmiş hücre </w:t>
      </w:r>
      <w:proofErr w:type="spellStart"/>
      <w:r w:rsidRPr="00B35DE0">
        <w:rPr>
          <w:rFonts w:ascii="Arial" w:hAnsi="Arial" w:cs="Arial"/>
          <w:color w:val="000000"/>
          <w:sz w:val="20"/>
          <w:szCs w:val="20"/>
        </w:rPr>
        <w:t>lizatlarındaki</w:t>
      </w:r>
      <w:proofErr w:type="spellEnd"/>
      <w:r w:rsidRPr="00B35DE0">
        <w:rPr>
          <w:rFonts w:ascii="Arial" w:hAnsi="Arial" w:cs="Arial"/>
          <w:color w:val="000000"/>
          <w:sz w:val="20"/>
          <w:szCs w:val="20"/>
        </w:rPr>
        <w:t xml:space="preserve"> Reaktif Oksijen Türleri (ROS) konsantrasyonlarının saptanması ve ölçülmesi için optimize edilmiş olmalıdır.</w:t>
      </w:r>
    </w:p>
    <w:p w14:paraId="345C9070" w14:textId="77777777" w:rsidR="00E65A31" w:rsidRPr="00B35DE0" w:rsidRDefault="00E65A31" w:rsidP="00E65A31">
      <w:pPr>
        <w:numPr>
          <w:ilvl w:val="0"/>
          <w:numId w:val="1"/>
        </w:numPr>
        <w:pBdr>
          <w:top w:val="nil"/>
          <w:left w:val="nil"/>
          <w:bottom w:val="nil"/>
          <w:right w:val="nil"/>
          <w:between w:val="nil"/>
        </w:pBdr>
        <w:spacing w:line="240" w:lineRule="auto"/>
        <w:rPr>
          <w:rFonts w:ascii="Arial" w:hAnsi="Arial" w:cs="Arial"/>
          <w:color w:val="000000"/>
          <w:sz w:val="20"/>
          <w:szCs w:val="20"/>
        </w:rPr>
      </w:pPr>
      <w:r w:rsidRPr="00B35DE0">
        <w:rPr>
          <w:rFonts w:ascii="Arial" w:hAnsi="Arial" w:cs="Arial"/>
          <w:color w:val="000000"/>
          <w:sz w:val="20"/>
          <w:szCs w:val="20"/>
        </w:rPr>
        <w:t xml:space="preserve">DCFH-DA (2,7-dikloroföresin </w:t>
      </w:r>
      <w:proofErr w:type="spellStart"/>
      <w:r w:rsidRPr="00B35DE0">
        <w:rPr>
          <w:rFonts w:ascii="Arial" w:hAnsi="Arial" w:cs="Arial"/>
          <w:color w:val="000000"/>
          <w:sz w:val="20"/>
          <w:szCs w:val="20"/>
        </w:rPr>
        <w:t>diasetat</w:t>
      </w:r>
      <w:proofErr w:type="spellEnd"/>
      <w:r w:rsidRPr="00B35DE0">
        <w:rPr>
          <w:rFonts w:ascii="Arial" w:hAnsi="Arial" w:cs="Arial"/>
          <w:color w:val="000000"/>
          <w:sz w:val="20"/>
          <w:szCs w:val="20"/>
        </w:rPr>
        <w:t xml:space="preserve">), membranı serbestçe geçebilen, floresans içermeyen bir floresan probu </w:t>
      </w:r>
      <w:proofErr w:type="gramStart"/>
      <w:r w:rsidRPr="00B35DE0">
        <w:rPr>
          <w:rFonts w:ascii="Arial" w:hAnsi="Arial" w:cs="Arial"/>
          <w:color w:val="000000"/>
          <w:sz w:val="20"/>
          <w:szCs w:val="20"/>
        </w:rPr>
        <w:t>olup  hücreye</w:t>
      </w:r>
      <w:proofErr w:type="gramEnd"/>
      <w:r w:rsidRPr="00B35DE0">
        <w:rPr>
          <w:rFonts w:ascii="Arial" w:hAnsi="Arial" w:cs="Arial"/>
          <w:color w:val="000000"/>
          <w:sz w:val="20"/>
          <w:szCs w:val="20"/>
        </w:rPr>
        <w:t xml:space="preserve"> girdikten sonra hücre içi esteraz ile hidrolize edilerek DCFH (</w:t>
      </w:r>
      <w:proofErr w:type="spellStart"/>
      <w:r w:rsidRPr="00B35DE0">
        <w:rPr>
          <w:rFonts w:ascii="Arial" w:hAnsi="Arial" w:cs="Arial"/>
          <w:color w:val="000000"/>
          <w:sz w:val="20"/>
          <w:szCs w:val="20"/>
        </w:rPr>
        <w:t>diklorofloresin</w:t>
      </w:r>
      <w:proofErr w:type="spellEnd"/>
      <w:r w:rsidRPr="00B35DE0">
        <w:rPr>
          <w:rFonts w:ascii="Arial" w:hAnsi="Arial" w:cs="Arial"/>
          <w:color w:val="000000"/>
          <w:sz w:val="20"/>
          <w:szCs w:val="20"/>
        </w:rPr>
        <w:t xml:space="preserve">) oluşturmalıdır. Reaktif oksijen türlerinin (ROS) varlığında DCFH, hücre zarından geçemeyen güçlü yeşil floresan bir madde olan </w:t>
      </w:r>
      <w:proofErr w:type="spellStart"/>
      <w:r w:rsidRPr="00B35DE0">
        <w:rPr>
          <w:rFonts w:ascii="Arial" w:hAnsi="Arial" w:cs="Arial"/>
          <w:color w:val="000000"/>
          <w:sz w:val="20"/>
          <w:szCs w:val="20"/>
        </w:rPr>
        <w:t>DCF'ye</w:t>
      </w:r>
      <w:proofErr w:type="spellEnd"/>
      <w:r w:rsidRPr="00B35DE0">
        <w:rPr>
          <w:rFonts w:ascii="Arial" w:hAnsi="Arial" w:cs="Arial"/>
          <w:color w:val="000000"/>
          <w:sz w:val="20"/>
          <w:szCs w:val="20"/>
        </w:rPr>
        <w:t xml:space="preserve"> (</w:t>
      </w:r>
      <w:proofErr w:type="spellStart"/>
      <w:r w:rsidRPr="00B35DE0">
        <w:rPr>
          <w:rFonts w:ascii="Arial" w:hAnsi="Arial" w:cs="Arial"/>
          <w:color w:val="000000"/>
          <w:sz w:val="20"/>
          <w:szCs w:val="20"/>
        </w:rPr>
        <w:t>diklorofloresein</w:t>
      </w:r>
      <w:proofErr w:type="spellEnd"/>
      <w:r w:rsidRPr="00B35DE0">
        <w:rPr>
          <w:rFonts w:ascii="Arial" w:hAnsi="Arial" w:cs="Arial"/>
          <w:color w:val="000000"/>
          <w:sz w:val="20"/>
          <w:szCs w:val="20"/>
        </w:rPr>
        <w:t>) oksitlenmelidir.</w:t>
      </w:r>
    </w:p>
    <w:p w14:paraId="5E1DED21"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kimyasal reaksiyonun ürettiği ışık ölçümü teknolojisine dayalı teknikler için uygun olmalıdır.</w:t>
      </w:r>
    </w:p>
    <w:p w14:paraId="3D1F0007"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 xml:space="preserve">Bir adet </w:t>
      </w:r>
      <w:proofErr w:type="spellStart"/>
      <w:r w:rsidRPr="00B35DE0">
        <w:rPr>
          <w:rFonts w:ascii="Arial" w:hAnsi="Arial" w:cs="Arial"/>
          <w:color w:val="000000"/>
          <w:sz w:val="20"/>
          <w:szCs w:val="20"/>
        </w:rPr>
        <w:t>deteksiyon</w:t>
      </w:r>
      <w:proofErr w:type="spellEnd"/>
      <w:r w:rsidRPr="00B35DE0">
        <w:rPr>
          <w:rFonts w:ascii="Arial" w:hAnsi="Arial" w:cs="Arial"/>
          <w:color w:val="000000"/>
          <w:sz w:val="20"/>
          <w:szCs w:val="20"/>
        </w:rPr>
        <w:t xml:space="preserve"> </w:t>
      </w: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ile en az 200 çalışma ( 200 </w:t>
      </w: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yapılmalıdır. </w:t>
      </w:r>
    </w:p>
    <w:p w14:paraId="6950DBBD"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Düşük numune hacminde hassas ve özgül çalışma yapılabilmesi için ; enzimatik ölçüm tekniğine göre daha yüksek duyarlılığa, geniş doğrusal aralığa, reaktiflerin yüksek stabilitesine ve hızlı algılamaya imkanı sunan kimyasal reaksiyonun ürettiği ışık ölçüm teknolojisine sahip olmalıdır.</w:t>
      </w:r>
    </w:p>
    <w:p w14:paraId="5E0AE1A3"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 xml:space="preserve">Kimyasal reaksiyonun ürettiği ışık ölçüm teknolojisine dayalı </w:t>
      </w: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ile yüksek konsantrasyonlara sahip numuneler için standart eğri aralığı enzimatik yöntemine göre daha geniş olup aynı örneklerde daha az dilüsyon işlemi ile sonuç alınabilmelidir.</w:t>
      </w:r>
    </w:p>
    <w:p w14:paraId="627F0D58"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ile aynı seyreltme kat sayısı kullanarak geniş ölçüde farklı konsantrasyonlara sahip farklı numunelerde hedef molekülün tespit edilmesine uygun olmalıdır. Böylece enzimatik yöntemindeki aşırı seyreltme protokolü yerine tüm numuneler için aynı dilüsyon oranı kullanılarak test değişkenliğini azaltılmaktadır.</w:t>
      </w:r>
    </w:p>
    <w:p w14:paraId="3F2FCEB9"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kitinde numunedeki antijen miktarı arttıkça, ışık gelişimi ve bağıl ışık birimi (RLU) ölçümü azalmalıdır.</w:t>
      </w:r>
    </w:p>
    <w:p w14:paraId="281A5C4F"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geniş dinamik aralığı sayesinde daha az numune tüketilmesini sağlamalıdır.</w:t>
      </w:r>
    </w:p>
    <w:p w14:paraId="16541905"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Deteksiyon</w:t>
      </w:r>
      <w:proofErr w:type="spellEnd"/>
      <w:r w:rsidRPr="00B35DE0">
        <w:rPr>
          <w:rFonts w:ascii="Arial" w:hAnsi="Arial" w:cs="Arial"/>
          <w:color w:val="000000"/>
          <w:sz w:val="20"/>
          <w:szCs w:val="20"/>
        </w:rPr>
        <w:t xml:space="preserve"> hassasiyeti mililitrede 0.054 nanogramdan daha az molekül tespiti için uygun olmalıdır.</w:t>
      </w:r>
    </w:p>
    <w:p w14:paraId="335091E2" w14:textId="77777777" w:rsidR="00E65A31" w:rsidRPr="00B35DE0" w:rsidRDefault="00E65A31" w:rsidP="00E65A31">
      <w:pPr>
        <w:numPr>
          <w:ilvl w:val="0"/>
          <w:numId w:val="1"/>
        </w:numPr>
        <w:spacing w:after="0" w:line="240" w:lineRule="auto"/>
        <w:rPr>
          <w:rFonts w:ascii="Arial" w:hAnsi="Arial" w:cs="Arial"/>
          <w:sz w:val="20"/>
          <w:szCs w:val="20"/>
        </w:rPr>
      </w:pPr>
      <w:r w:rsidRPr="00B35DE0">
        <w:rPr>
          <w:rFonts w:ascii="Arial" w:hAnsi="Arial" w:cs="Arial"/>
          <w:sz w:val="20"/>
          <w:szCs w:val="20"/>
        </w:rPr>
        <w:t>Kalibrasyon aralığı, 0.156 ng/ml - 10 ng/ml arasında olmalıdır.</w:t>
      </w:r>
    </w:p>
    <w:p w14:paraId="34F9665D"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 xml:space="preserve">Kit içeriğinde kimyasal reaksiyon yöntemleri için çalışma protokolünde olan tüm ürünleri içermelidir. Dışardan ekstra herhangi bir kimyasal veya plastik malzemeye ihtiyaç duyulmamalıdır. </w:t>
      </w:r>
    </w:p>
    <w:p w14:paraId="5ED8E0C4"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hızlı analize izin vermeli ve uzun inkübasyon süreleri olmamalıdır.</w:t>
      </w:r>
    </w:p>
    <w:p w14:paraId="41339705"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istenildiğinde enzimatik yöntem olarak </w:t>
      </w:r>
      <w:proofErr w:type="spellStart"/>
      <w:r w:rsidRPr="00B35DE0">
        <w:rPr>
          <w:rFonts w:ascii="Arial" w:hAnsi="Arial" w:cs="Arial"/>
          <w:color w:val="000000"/>
          <w:sz w:val="20"/>
          <w:szCs w:val="20"/>
        </w:rPr>
        <w:t>Streptavidin</w:t>
      </w:r>
      <w:proofErr w:type="spellEnd"/>
      <w:r w:rsidRPr="00B35DE0">
        <w:rPr>
          <w:rFonts w:ascii="Arial" w:hAnsi="Arial" w:cs="Arial"/>
          <w:color w:val="000000"/>
          <w:sz w:val="20"/>
          <w:szCs w:val="20"/>
        </w:rPr>
        <w:t xml:space="preserve">-HRP ve substrat olarak geliştirilmiş ECL ile kullanabilir olmalıdır. Bu durumda, numuneler yakalama antikoru ile kaplanmış oyuk plakalara ilave edildikten sonra bir </w:t>
      </w:r>
      <w:proofErr w:type="spellStart"/>
      <w:r w:rsidRPr="00B35DE0">
        <w:rPr>
          <w:rFonts w:ascii="Arial" w:hAnsi="Arial" w:cs="Arial"/>
          <w:color w:val="000000"/>
          <w:sz w:val="20"/>
          <w:szCs w:val="20"/>
        </w:rPr>
        <w:t>streptavidin</w:t>
      </w:r>
      <w:proofErr w:type="spellEnd"/>
      <w:r w:rsidRPr="00B35DE0">
        <w:rPr>
          <w:rFonts w:ascii="Arial" w:hAnsi="Arial" w:cs="Arial"/>
          <w:color w:val="000000"/>
          <w:sz w:val="20"/>
          <w:szCs w:val="20"/>
        </w:rPr>
        <w:t xml:space="preserve">-HRP </w:t>
      </w:r>
      <w:proofErr w:type="spellStart"/>
      <w:r w:rsidRPr="00B35DE0">
        <w:rPr>
          <w:rFonts w:ascii="Arial" w:hAnsi="Arial" w:cs="Arial"/>
          <w:color w:val="000000"/>
          <w:sz w:val="20"/>
          <w:szCs w:val="20"/>
        </w:rPr>
        <w:t>konjüge</w:t>
      </w:r>
      <w:proofErr w:type="spellEnd"/>
      <w:r w:rsidRPr="00B35DE0">
        <w:rPr>
          <w:rFonts w:ascii="Arial" w:hAnsi="Arial" w:cs="Arial"/>
          <w:color w:val="000000"/>
          <w:sz w:val="20"/>
          <w:szCs w:val="20"/>
        </w:rPr>
        <w:t xml:space="preserve"> edilmiş tespit antikoru ve daha sonra bir </w:t>
      </w:r>
      <w:proofErr w:type="spellStart"/>
      <w:r w:rsidRPr="00B35DE0">
        <w:rPr>
          <w:rFonts w:ascii="Arial" w:hAnsi="Arial" w:cs="Arial"/>
          <w:color w:val="000000"/>
          <w:sz w:val="20"/>
          <w:szCs w:val="20"/>
        </w:rPr>
        <w:t>kemilüminesan</w:t>
      </w:r>
      <w:proofErr w:type="spellEnd"/>
      <w:r w:rsidRPr="00B35DE0">
        <w:rPr>
          <w:rFonts w:ascii="Arial" w:hAnsi="Arial" w:cs="Arial"/>
          <w:color w:val="000000"/>
          <w:sz w:val="20"/>
          <w:szCs w:val="20"/>
        </w:rPr>
        <w:t xml:space="preserve"> substrat ile inkübasyon yapılabilir ve </w:t>
      </w:r>
      <w:proofErr w:type="spellStart"/>
      <w:r w:rsidRPr="00B35DE0">
        <w:rPr>
          <w:rFonts w:ascii="Arial" w:hAnsi="Arial" w:cs="Arial"/>
          <w:color w:val="000000"/>
          <w:sz w:val="20"/>
          <w:szCs w:val="20"/>
        </w:rPr>
        <w:t>mikroplaka</w:t>
      </w:r>
      <w:proofErr w:type="spellEnd"/>
      <w:r w:rsidRPr="00B35DE0">
        <w:rPr>
          <w:rFonts w:ascii="Arial" w:hAnsi="Arial" w:cs="Arial"/>
          <w:color w:val="000000"/>
          <w:sz w:val="20"/>
          <w:szCs w:val="20"/>
        </w:rPr>
        <w:t xml:space="preserve"> cihazında ölçüm yapılabilmelidir.</w:t>
      </w:r>
    </w:p>
    <w:p w14:paraId="73357028"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 xml:space="preserve">Kitin stabilitesi üretici firmanın önerdiği uygun depolama koşullarında, aktivite </w:t>
      </w:r>
      <w:proofErr w:type="spellStart"/>
      <w:r w:rsidRPr="00B35DE0">
        <w:rPr>
          <w:rFonts w:ascii="Arial" w:hAnsi="Arial" w:cs="Arial"/>
          <w:color w:val="000000"/>
          <w:sz w:val="20"/>
          <w:szCs w:val="20"/>
        </w:rPr>
        <w:t>kayıb</w:t>
      </w:r>
      <w:proofErr w:type="spellEnd"/>
      <w:r w:rsidRPr="00B35DE0">
        <w:rPr>
          <w:rFonts w:ascii="Arial" w:hAnsi="Arial" w:cs="Arial"/>
          <w:color w:val="000000"/>
          <w:sz w:val="20"/>
          <w:szCs w:val="20"/>
        </w:rPr>
        <w:t xml:space="preserve"> oranı son kullanma tarihi içinde % 5'in altında olmalıdır. Bu bilgi kitin gerekli </w:t>
      </w:r>
      <w:proofErr w:type="spellStart"/>
      <w:r w:rsidRPr="00B35DE0">
        <w:rPr>
          <w:rFonts w:ascii="Arial" w:hAnsi="Arial" w:cs="Arial"/>
          <w:color w:val="000000"/>
          <w:sz w:val="20"/>
          <w:szCs w:val="20"/>
        </w:rPr>
        <w:t>dökümanlarında</w:t>
      </w:r>
      <w:proofErr w:type="spellEnd"/>
      <w:r w:rsidRPr="00B35DE0">
        <w:rPr>
          <w:rFonts w:ascii="Arial" w:hAnsi="Arial" w:cs="Arial"/>
          <w:color w:val="000000"/>
          <w:sz w:val="20"/>
          <w:szCs w:val="20"/>
        </w:rPr>
        <w:t xml:space="preserve"> yazmalıdır.</w:t>
      </w:r>
    </w:p>
    <w:p w14:paraId="641CAA76"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proofErr w:type="spellStart"/>
      <w:r w:rsidRPr="00B35DE0">
        <w:rPr>
          <w:rFonts w:ascii="Arial" w:hAnsi="Arial" w:cs="Arial"/>
          <w:color w:val="000000"/>
          <w:sz w:val="20"/>
          <w:szCs w:val="20"/>
        </w:rPr>
        <w:t>Assay</w:t>
      </w:r>
      <w:proofErr w:type="spellEnd"/>
      <w:r w:rsidRPr="00B35DE0">
        <w:rPr>
          <w:rFonts w:ascii="Arial" w:hAnsi="Arial" w:cs="Arial"/>
          <w:color w:val="000000"/>
          <w:sz w:val="20"/>
          <w:szCs w:val="20"/>
        </w:rPr>
        <w:t xml:space="preserve"> kit daha önce laboratuvarımızda denemiş, optimize edilmiş ve uygun sonuçlar alınmış olunmalıdır. Aksi halde teklif verilemeden önce laboratuvarımızla görüşülmelidir.</w:t>
      </w:r>
    </w:p>
    <w:p w14:paraId="3AC45B7E"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Teklif edilecek ürünler teknik şartnamedeki özelliklere birebir uygun olacaktır.</w:t>
      </w:r>
    </w:p>
    <w:p w14:paraId="19F6B676"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Teklif veren firmalar, marka ve katalog numarası belirterek teknik şartnameye uygunluklarını belirtecektir. Uygunluk yazısı olmadan teklif verilmeyecektir.</w:t>
      </w:r>
    </w:p>
    <w:p w14:paraId="28C27D7F"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Ürünler proje süresiden dolayı en geç 4-6 hafta içinde teslim edilecektir.</w:t>
      </w:r>
    </w:p>
    <w:p w14:paraId="4855468E"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Soğuk zincir ürünler taşıma ve saklama koşullarına uygun olarak elden teslim edilecektir. Kargo ile teslimat kabul edilmeyecektir.</w:t>
      </w:r>
    </w:p>
    <w:p w14:paraId="0A809220" w14:textId="77777777" w:rsidR="00E65A31" w:rsidRPr="00B35DE0" w:rsidRDefault="00E65A31" w:rsidP="00E65A31">
      <w:pPr>
        <w:numPr>
          <w:ilvl w:val="0"/>
          <w:numId w:val="1"/>
        </w:numPr>
        <w:pBdr>
          <w:top w:val="nil"/>
          <w:left w:val="nil"/>
          <w:bottom w:val="nil"/>
          <w:right w:val="nil"/>
          <w:between w:val="nil"/>
        </w:pBdr>
        <w:spacing w:after="0" w:line="240" w:lineRule="auto"/>
        <w:rPr>
          <w:rFonts w:ascii="Arial" w:hAnsi="Arial" w:cs="Arial"/>
          <w:color w:val="000000"/>
          <w:sz w:val="20"/>
          <w:szCs w:val="20"/>
        </w:rPr>
      </w:pPr>
      <w:r w:rsidRPr="00B35DE0">
        <w:rPr>
          <w:rFonts w:ascii="Arial" w:hAnsi="Arial" w:cs="Arial"/>
          <w:color w:val="000000"/>
          <w:sz w:val="20"/>
          <w:szCs w:val="20"/>
        </w:rPr>
        <w:t>Kitlerin çalışmaması veya sonuç alınamaması durumunda teklif veren firma, en geç iki hafta içinde kitleri yenisi ile değiştirecektir.</w:t>
      </w:r>
    </w:p>
    <w:p w14:paraId="0172959E" w14:textId="77777777" w:rsidR="00E65A31" w:rsidRPr="00B35DE0" w:rsidRDefault="00E65A31" w:rsidP="00E65A31">
      <w:pPr>
        <w:spacing w:after="0" w:line="240" w:lineRule="auto"/>
        <w:rPr>
          <w:rFonts w:ascii="Arial" w:hAnsi="Arial" w:cs="Arial"/>
          <w:sz w:val="20"/>
          <w:szCs w:val="20"/>
        </w:rPr>
      </w:pPr>
    </w:p>
    <w:p w14:paraId="2449B51E" w14:textId="77777777" w:rsidR="004801DD" w:rsidRDefault="004801DD"/>
    <w:sectPr w:rsidR="004801DD" w:rsidSect="00E65A31">
      <w:pgSz w:w="11906" w:h="16838"/>
      <w:pgMar w:top="1417" w:right="991" w:bottom="851" w:left="851"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48D1297"/>
    <w:multiLevelType w:val="multilevel"/>
    <w:tmpl w:val="E2E28342"/>
    <w:lvl w:ilvl="0">
      <w:start w:val="1"/>
      <w:numFmt w:val="decimal"/>
      <w:lvlText w:val="%1."/>
      <w:lvlJc w:val="left"/>
      <w:pPr>
        <w:ind w:left="720" w:hanging="360"/>
      </w:pPr>
      <w:rPr>
        <w:rFonts w:ascii="Arial" w:eastAsia="Arial" w:hAnsi="Arial" w:cs="Arial"/>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272846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4"/>
  <w:proofState w:spelling="clean" w:grammar="clean"/>
  <w:attachedTemplate r:id="rId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A31"/>
    <w:rsid w:val="000321FB"/>
    <w:rsid w:val="000445B4"/>
    <w:rsid w:val="00053B1D"/>
    <w:rsid w:val="00072070"/>
    <w:rsid w:val="00085683"/>
    <w:rsid w:val="00096AD0"/>
    <w:rsid w:val="000B6DB3"/>
    <w:rsid w:val="000C54A7"/>
    <w:rsid w:val="000E2C2C"/>
    <w:rsid w:val="00107A46"/>
    <w:rsid w:val="00135DF7"/>
    <w:rsid w:val="00153B1A"/>
    <w:rsid w:val="00153C9B"/>
    <w:rsid w:val="001B44F2"/>
    <w:rsid w:val="001B5EB8"/>
    <w:rsid w:val="001C295F"/>
    <w:rsid w:val="001D6215"/>
    <w:rsid w:val="001D6AFB"/>
    <w:rsid w:val="001F468F"/>
    <w:rsid w:val="002113F8"/>
    <w:rsid w:val="002217B8"/>
    <w:rsid w:val="0023155B"/>
    <w:rsid w:val="002623D3"/>
    <w:rsid w:val="0028365A"/>
    <w:rsid w:val="00294F83"/>
    <w:rsid w:val="00297AD8"/>
    <w:rsid w:val="002D7E21"/>
    <w:rsid w:val="002F1786"/>
    <w:rsid w:val="002F518B"/>
    <w:rsid w:val="002F7387"/>
    <w:rsid w:val="0030638D"/>
    <w:rsid w:val="00317243"/>
    <w:rsid w:val="003267BB"/>
    <w:rsid w:val="00341256"/>
    <w:rsid w:val="003832B9"/>
    <w:rsid w:val="003A03D0"/>
    <w:rsid w:val="003A67C2"/>
    <w:rsid w:val="003C015F"/>
    <w:rsid w:val="003D563B"/>
    <w:rsid w:val="003E11D2"/>
    <w:rsid w:val="003F083D"/>
    <w:rsid w:val="00402F19"/>
    <w:rsid w:val="0040681C"/>
    <w:rsid w:val="00413C0F"/>
    <w:rsid w:val="004302B4"/>
    <w:rsid w:val="00442849"/>
    <w:rsid w:val="004801DD"/>
    <w:rsid w:val="004915AC"/>
    <w:rsid w:val="004A5821"/>
    <w:rsid w:val="004B6801"/>
    <w:rsid w:val="004C5505"/>
    <w:rsid w:val="004D5E40"/>
    <w:rsid w:val="00500251"/>
    <w:rsid w:val="0050033B"/>
    <w:rsid w:val="00535CC2"/>
    <w:rsid w:val="00583A6D"/>
    <w:rsid w:val="005B232D"/>
    <w:rsid w:val="005B68D6"/>
    <w:rsid w:val="005C06DC"/>
    <w:rsid w:val="005D7482"/>
    <w:rsid w:val="006034B3"/>
    <w:rsid w:val="00625097"/>
    <w:rsid w:val="00675DDB"/>
    <w:rsid w:val="006839EC"/>
    <w:rsid w:val="00685C84"/>
    <w:rsid w:val="00697225"/>
    <w:rsid w:val="006A19DC"/>
    <w:rsid w:val="006A7BC6"/>
    <w:rsid w:val="006E389D"/>
    <w:rsid w:val="006E61E9"/>
    <w:rsid w:val="006E6734"/>
    <w:rsid w:val="006F6544"/>
    <w:rsid w:val="006F71FC"/>
    <w:rsid w:val="00701DD0"/>
    <w:rsid w:val="007770CD"/>
    <w:rsid w:val="00782A73"/>
    <w:rsid w:val="00786A0C"/>
    <w:rsid w:val="00792936"/>
    <w:rsid w:val="007B70A4"/>
    <w:rsid w:val="007D2A35"/>
    <w:rsid w:val="007F0F8F"/>
    <w:rsid w:val="007F6B15"/>
    <w:rsid w:val="007F7746"/>
    <w:rsid w:val="00801741"/>
    <w:rsid w:val="00843707"/>
    <w:rsid w:val="008A5835"/>
    <w:rsid w:val="008B37B8"/>
    <w:rsid w:val="008B398E"/>
    <w:rsid w:val="00914833"/>
    <w:rsid w:val="00917797"/>
    <w:rsid w:val="00924173"/>
    <w:rsid w:val="00940C09"/>
    <w:rsid w:val="009448C7"/>
    <w:rsid w:val="00965681"/>
    <w:rsid w:val="00977922"/>
    <w:rsid w:val="009843D4"/>
    <w:rsid w:val="00985504"/>
    <w:rsid w:val="009B067D"/>
    <w:rsid w:val="009B24CA"/>
    <w:rsid w:val="009E2D94"/>
    <w:rsid w:val="009F0863"/>
    <w:rsid w:val="00A05B4E"/>
    <w:rsid w:val="00A10F79"/>
    <w:rsid w:val="00A27503"/>
    <w:rsid w:val="00A349DA"/>
    <w:rsid w:val="00A374CC"/>
    <w:rsid w:val="00A44D14"/>
    <w:rsid w:val="00A76EE7"/>
    <w:rsid w:val="00A8214B"/>
    <w:rsid w:val="00A870F4"/>
    <w:rsid w:val="00AA3C42"/>
    <w:rsid w:val="00AC45D7"/>
    <w:rsid w:val="00AC5CFF"/>
    <w:rsid w:val="00AD60E1"/>
    <w:rsid w:val="00B11369"/>
    <w:rsid w:val="00B14807"/>
    <w:rsid w:val="00B15616"/>
    <w:rsid w:val="00B44854"/>
    <w:rsid w:val="00B52990"/>
    <w:rsid w:val="00B6177A"/>
    <w:rsid w:val="00B675E5"/>
    <w:rsid w:val="00BA09CD"/>
    <w:rsid w:val="00BB2F30"/>
    <w:rsid w:val="00BB63C8"/>
    <w:rsid w:val="00BC14BD"/>
    <w:rsid w:val="00BC3C03"/>
    <w:rsid w:val="00BC5DBC"/>
    <w:rsid w:val="00BC70AD"/>
    <w:rsid w:val="00BF2349"/>
    <w:rsid w:val="00C30887"/>
    <w:rsid w:val="00C3618B"/>
    <w:rsid w:val="00C4235E"/>
    <w:rsid w:val="00C61365"/>
    <w:rsid w:val="00CA5AD3"/>
    <w:rsid w:val="00CB7013"/>
    <w:rsid w:val="00CC6E7B"/>
    <w:rsid w:val="00CD07CD"/>
    <w:rsid w:val="00CD2FD9"/>
    <w:rsid w:val="00CF16E5"/>
    <w:rsid w:val="00D00200"/>
    <w:rsid w:val="00D02A2F"/>
    <w:rsid w:val="00D057F5"/>
    <w:rsid w:val="00D34E56"/>
    <w:rsid w:val="00D4493D"/>
    <w:rsid w:val="00D746AD"/>
    <w:rsid w:val="00D80393"/>
    <w:rsid w:val="00DA0CD3"/>
    <w:rsid w:val="00DB0561"/>
    <w:rsid w:val="00DC4EFD"/>
    <w:rsid w:val="00DD018F"/>
    <w:rsid w:val="00DD3941"/>
    <w:rsid w:val="00DD5E4E"/>
    <w:rsid w:val="00DF7D68"/>
    <w:rsid w:val="00E360E9"/>
    <w:rsid w:val="00E46E74"/>
    <w:rsid w:val="00E50191"/>
    <w:rsid w:val="00E65A31"/>
    <w:rsid w:val="00E72CEA"/>
    <w:rsid w:val="00E85221"/>
    <w:rsid w:val="00E85596"/>
    <w:rsid w:val="00E917BD"/>
    <w:rsid w:val="00EA1182"/>
    <w:rsid w:val="00EF7950"/>
    <w:rsid w:val="00F00832"/>
    <w:rsid w:val="00F00D8F"/>
    <w:rsid w:val="00F02681"/>
    <w:rsid w:val="00F140E5"/>
    <w:rsid w:val="00F32271"/>
    <w:rsid w:val="00F67D20"/>
    <w:rsid w:val="00F951B6"/>
    <w:rsid w:val="00FC1EA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64B5E992"/>
  <w15:chartTrackingRefBased/>
  <w15:docId w15:val="{31626E51-9DCD-4B40-BBC3-3175A342C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5A31"/>
    <w:pPr>
      <w:spacing w:after="160" w:line="259" w:lineRule="auto"/>
    </w:pPr>
    <w:rPr>
      <w:rFonts w:ascii="Calibri" w:eastAsia="Calibri" w:hAnsi="Calibri" w:cs="Calibri"/>
      <w:kern w:val="0"/>
      <w:sz w:val="22"/>
      <w:szCs w:val="22"/>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550</Words>
  <Characters>3138</Characters>
  <Application>Microsoft Office Word</Application>
  <DocSecurity>0</DocSecurity>
  <Lines>26</Lines>
  <Paragraphs>7</Paragraphs>
  <ScaleCrop>false</ScaleCrop>
  <Company/>
  <LinksUpToDate>false</LinksUpToDate>
  <CharactersWithSpaces>3681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Kübra İbiş</cp:lastModifiedBy>
  <cp:revision>1</cp:revision>
  <dcterms:created xsi:type="dcterms:W3CDTF">2024-08-27T07:53:00Z</dcterms:created>
  <dcterms:modified xsi:type="dcterms:W3CDTF">2024-08-27T07:53:00Z</dcterms:modified>
</cp:coreProperties>
</file>