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cstheme="minorHAnsi"/>
          <w:b/>
        </w:rPr>
      </w:pPr>
      <w:bookmarkStart w:id="0" w:name="_GoBack"/>
      <w:bookmarkEnd w:id="0"/>
      <w:r>
        <w:rPr>
          <w:rFonts w:cstheme="minorHAnsi"/>
          <w:b/>
        </w:rPr>
        <w:t>ELİSA KİTLERİ GENEL ŞARTLAR</w:t>
      </w:r>
    </w:p>
    <w:p>
      <w:pPr>
        <w:pStyle w:val="6"/>
        <w:numPr>
          <w:ilvl w:val="0"/>
          <w:numId w:val="1"/>
        </w:numPr>
        <w:rPr>
          <w:rFonts w:cstheme="minorHAnsi"/>
        </w:rPr>
      </w:pPr>
      <w:r>
        <w:rPr>
          <w:rFonts w:cstheme="minorHAnsi"/>
        </w:rPr>
        <w:t>Tüm kitler 96 Test’lik orijinal ambalajında olmalıdır.</w:t>
      </w:r>
    </w:p>
    <w:p>
      <w:pPr>
        <w:pStyle w:val="6"/>
        <w:numPr>
          <w:ilvl w:val="0"/>
          <w:numId w:val="1"/>
        </w:numPr>
        <w:rPr>
          <w:rFonts w:cstheme="minorHAnsi"/>
        </w:rPr>
      </w:pPr>
      <w:r>
        <w:rPr>
          <w:rFonts w:cstheme="minorHAnsi"/>
        </w:rPr>
        <w:t>Çalışma protokolü kolay ve anlaşılır kitler olmalı, şartnameye uygunluk ve kit prospektüsleri de tekliflerle birlikte verilmelidir.</w:t>
      </w:r>
    </w:p>
    <w:p>
      <w:pPr>
        <w:pStyle w:val="6"/>
        <w:numPr>
          <w:ilvl w:val="0"/>
          <w:numId w:val="1"/>
        </w:numPr>
        <w:rPr>
          <w:rFonts w:cstheme="minorHAnsi"/>
        </w:rPr>
      </w:pPr>
      <w:r>
        <w:rPr>
          <w:rFonts w:cstheme="minorHAnsi"/>
        </w:rPr>
        <w:t>Kitlerin raf ömrü teslim edildikleri tarihte en az 6 ay olmalıdır.</w:t>
      </w:r>
    </w:p>
    <w:p>
      <w:pPr>
        <w:pStyle w:val="6"/>
        <w:numPr>
          <w:ilvl w:val="0"/>
          <w:numId w:val="1"/>
        </w:numPr>
        <w:rPr>
          <w:rFonts w:cstheme="minorHAnsi"/>
        </w:rPr>
      </w:pPr>
      <w:r>
        <w:rPr>
          <w:rFonts w:cstheme="minorHAnsi"/>
        </w:rPr>
        <w:t>Yapılacak çalışmalarda güvenilir sonuç vermeyen, bozuk çıkan ya da kullanım süresinde bozulan kitleri ve kit çalışmasına ilişkin sarf malzemelerini, hiçbir gerekçe ileri sürmeksizin ve ek ücret talep etmeksizin yeni kit ve sarf malzemelerle 1 hafta içerisinde yenileri ile değiştirecektir.</w:t>
      </w:r>
    </w:p>
    <w:p>
      <w:pPr>
        <w:pStyle w:val="6"/>
        <w:numPr>
          <w:ilvl w:val="0"/>
          <w:numId w:val="1"/>
        </w:numPr>
        <w:rPr>
          <w:rFonts w:cstheme="minorHAnsi"/>
        </w:rPr>
      </w:pPr>
      <w:r>
        <w:rPr>
          <w:rFonts w:cstheme="minorHAnsi"/>
        </w:rPr>
        <w:t>Kitler orijinal ambalajlarında, son kullanma tarihleri ve saklama koşulları kit kutusunda yazılı olmalıdır.</w:t>
      </w:r>
    </w:p>
    <w:p>
      <w:pPr>
        <w:pStyle w:val="6"/>
        <w:numPr>
          <w:ilvl w:val="0"/>
          <w:numId w:val="1"/>
        </w:numPr>
        <w:rPr>
          <w:rFonts w:cstheme="minorHAnsi"/>
        </w:rPr>
      </w:pPr>
      <w:r>
        <w:rPr>
          <w:rFonts w:cstheme="minorHAnsi"/>
        </w:rPr>
        <w:t>Numunelerin ve daha çalışmaların hassasiyeti açısından önce kullanılıp sorun yaşan kitler ile daha önce hiç denenmemiş kitlere ait teklifler değerlendirme dışı bırakılacaktır.</w:t>
      </w:r>
    </w:p>
    <w:p>
      <w:pPr>
        <w:pStyle w:val="6"/>
        <w:numPr>
          <w:ilvl w:val="0"/>
          <w:numId w:val="1"/>
        </w:numPr>
        <w:rPr>
          <w:rFonts w:cstheme="minorHAnsi"/>
        </w:rPr>
      </w:pPr>
      <w:r>
        <w:rPr>
          <w:rFonts w:cstheme="minorHAnsi"/>
        </w:rPr>
        <w:t xml:space="preserve">Kit teslimatı soğuk zincir kurallarına uyularak gerçekleştirilmelidir. Kargo ile teslimat kabul edilmeyecektir. </w:t>
      </w:r>
    </w:p>
    <w:p>
      <w:pPr>
        <w:pStyle w:val="6"/>
        <w:numPr>
          <w:ilvl w:val="0"/>
          <w:numId w:val="1"/>
        </w:numPr>
        <w:spacing w:after="200" w:line="360" w:lineRule="auto"/>
        <w:rPr>
          <w:rFonts w:cstheme="minorHAnsi"/>
        </w:rPr>
      </w:pPr>
      <w:r>
        <w:rPr>
          <w:rFonts w:cstheme="minorHAnsi"/>
        </w:rPr>
        <w:t>Çalışma sonuçlanıp, beklenen sonuçlar alınıncaya kadar ihale tamamlanmış sayılmayacaktır.</w:t>
      </w:r>
    </w:p>
    <w:p>
      <w:pPr>
        <w:pStyle w:val="6"/>
        <w:numPr>
          <w:ilvl w:val="0"/>
          <w:numId w:val="1"/>
        </w:numPr>
        <w:spacing w:after="200" w:line="360" w:lineRule="auto"/>
        <w:rPr>
          <w:rFonts w:cstheme="minorHAnsi"/>
        </w:rPr>
      </w:pPr>
      <w:r>
        <w:rPr>
          <w:rFonts w:cstheme="minorHAnsi"/>
        </w:rPr>
        <w:t>Şartname maddelerine madde madde cevap verilecek ve şartname cevapları teklif dosyasında sunulacaktır. Şartname cevabı hazırlamayan firmaların teklifleri değerlendirmeye alınmayacaktır.</w:t>
      </w:r>
    </w:p>
    <w:p>
      <w:pPr>
        <w:pStyle w:val="6"/>
        <w:numPr>
          <w:ilvl w:val="0"/>
          <w:numId w:val="1"/>
        </w:numPr>
        <w:spacing w:after="200" w:line="360" w:lineRule="auto"/>
        <w:rPr>
          <w:rFonts w:cstheme="minorHAnsi"/>
        </w:rPr>
      </w:pPr>
      <w:r>
        <w:rPr>
          <w:rFonts w:cstheme="minorHAnsi"/>
        </w:rPr>
        <w:t>Çalışma bir bütündür. Tüm kitler çalışmanın düzeni ve daha önce yapılan çalışmalar göz önüne alınarak ve çalışma kolaylığı açısından aynı marka olacaktır.</w:t>
      </w:r>
    </w:p>
    <w:p>
      <w:pPr>
        <w:pStyle w:val="6"/>
        <w:numPr>
          <w:ilvl w:val="0"/>
          <w:numId w:val="1"/>
        </w:numPr>
        <w:spacing w:after="200" w:line="360" w:lineRule="auto"/>
        <w:rPr>
          <w:rFonts w:cstheme="minorHAnsi"/>
          <w:u w:val="single"/>
        </w:rPr>
      </w:pPr>
      <w:r>
        <w:rPr>
          <w:rFonts w:cstheme="minorHAnsi"/>
          <w:u w:val="single"/>
        </w:rPr>
        <w:t>Deney süreçlerinin ilerleyişi açısından, farklı tedarikçilerden alınan malzemelerin teslimatlarının farklı olması sebebiyle, tüm ürünler tek bir firmadan alınacaktır. Kısmi tekli verilemez.</w:t>
      </w:r>
    </w:p>
    <w:p>
      <w:pPr>
        <w:pStyle w:val="6"/>
        <w:numPr>
          <w:ilvl w:val="0"/>
          <w:numId w:val="1"/>
        </w:numPr>
        <w:spacing w:after="200" w:line="360" w:lineRule="auto"/>
        <w:rPr>
          <w:rFonts w:cstheme="minorHAnsi"/>
        </w:rPr>
      </w:pPr>
      <w:r>
        <w:rPr>
          <w:rFonts w:cstheme="minorHAnsi"/>
        </w:rPr>
        <w:t>Kalite kontrol sertifikası bulunmayan kitler kabul edilmeyecektir.</w:t>
      </w:r>
    </w:p>
    <w:p>
      <w:pPr>
        <w:pStyle w:val="6"/>
        <w:numPr>
          <w:ilvl w:val="0"/>
          <w:numId w:val="1"/>
        </w:numPr>
        <w:spacing w:after="200" w:line="360" w:lineRule="auto"/>
        <w:rPr>
          <w:rFonts w:cstheme="minorHAnsi"/>
        </w:rPr>
      </w:pPr>
      <w:r>
        <w:rPr>
          <w:rFonts w:cstheme="minorHAnsi"/>
        </w:rPr>
        <w:t>Kitler 2-8 ᴼC’de saklanmalıdır.</w:t>
      </w:r>
    </w:p>
    <w:p>
      <w:pPr>
        <w:rPr>
          <w:rFonts w:cstheme="minorHAnsi"/>
          <w:b/>
        </w:rPr>
      </w:pPr>
      <w:r>
        <w:rPr>
          <w:rFonts w:cstheme="minorHAnsi"/>
          <w:b/>
          <w:bCs/>
          <w:color w:val="000000"/>
          <w:shd w:val="clear" w:color="auto" w:fill="FFFFFF"/>
        </w:rPr>
        <w:t>Transforming Growth Factor Alpha (TGF-A)</w:t>
      </w:r>
      <w:r>
        <w:rPr>
          <w:rFonts w:cstheme="minorHAnsi"/>
          <w:color w:val="000000"/>
          <w:shd w:val="clear" w:color="auto" w:fill="FFFFFF"/>
        </w:rPr>
        <w:t xml:space="preserve"> </w:t>
      </w:r>
      <w:r>
        <w:rPr>
          <w:rFonts w:cstheme="minorHAnsi"/>
          <w:b/>
        </w:rPr>
        <w:t>ELISA KITI TEKNİK ŞARTNAMESİ</w:t>
      </w:r>
    </w:p>
    <w:p>
      <w:pPr>
        <w:pStyle w:val="6"/>
        <w:numPr>
          <w:ilvl w:val="0"/>
          <w:numId w:val="2"/>
        </w:numPr>
        <w:spacing w:after="200" w:line="276" w:lineRule="auto"/>
        <w:rPr>
          <w:rFonts w:cstheme="minorHAnsi"/>
        </w:rPr>
      </w:pPr>
      <w:r>
        <w:rPr>
          <w:rFonts w:cstheme="minorHAnsi"/>
        </w:rPr>
        <w:t>Kit, MicroElisa (</w:t>
      </w:r>
      <w:r>
        <w:rPr>
          <w:rFonts w:cstheme="minorHAnsi"/>
          <w:color w:val="000000"/>
          <w:shd w:val="clear" w:color="auto" w:fill="FFFFFF"/>
        </w:rPr>
        <w:t xml:space="preserve">Double-antibody Sandwich) </w:t>
      </w:r>
      <w:r>
        <w:rPr>
          <w:rFonts w:cstheme="minorHAnsi"/>
        </w:rPr>
        <w:t>yöntemle kantitatif olarak ratlarda serum, plazma ve doku homojenatlarında TGF ALPHA konsantrasyonu ölçümünü yapabilmelidir.</w:t>
      </w:r>
    </w:p>
    <w:p>
      <w:pPr>
        <w:rPr>
          <w:rFonts w:cstheme="minorHAnsi"/>
          <w:b/>
        </w:rPr>
      </w:pPr>
      <w:r>
        <w:rPr>
          <w:rFonts w:cstheme="minorHAnsi"/>
          <w:b/>
          <w:bCs/>
          <w:color w:val="000000"/>
          <w:shd w:val="clear" w:color="auto" w:fill="FFFFFF"/>
        </w:rPr>
        <w:t xml:space="preserve">INSULIN LIKE GROWTH FACTOR 1 (IGF-1) RAT ASSAY KITI TEKNİK ŞARTNAMESİ </w:t>
      </w:r>
    </w:p>
    <w:p>
      <w:pPr>
        <w:pStyle w:val="6"/>
        <w:numPr>
          <w:ilvl w:val="0"/>
          <w:numId w:val="3"/>
        </w:numPr>
        <w:spacing w:after="200" w:line="276" w:lineRule="auto"/>
        <w:rPr>
          <w:rFonts w:cstheme="minorHAnsi"/>
        </w:rPr>
      </w:pPr>
      <w:r>
        <w:rPr>
          <w:rFonts w:cstheme="minorHAnsi"/>
        </w:rPr>
        <w:t>Kit, MicroElisa (</w:t>
      </w:r>
      <w:r>
        <w:rPr>
          <w:rFonts w:cstheme="minorHAnsi"/>
          <w:color w:val="000000"/>
          <w:shd w:val="clear" w:color="auto" w:fill="FFFFFF"/>
        </w:rPr>
        <w:t xml:space="preserve">Double-antibody Sandwich) </w:t>
      </w:r>
      <w:r>
        <w:rPr>
          <w:rFonts w:cstheme="minorHAnsi"/>
        </w:rPr>
        <w:t>yöntemle kantitatif olarak ratlarda serum, plazma ve doku homojenatlarında IGF-1 konsantrasyonu ölçümünü yapabilmelidir.</w:t>
      </w:r>
    </w:p>
    <w:p>
      <w:pPr>
        <w:rPr>
          <w:rFonts w:cstheme="minorHAnsi"/>
          <w:b/>
          <w:bCs/>
          <w:color w:val="000000"/>
          <w:shd w:val="clear" w:color="auto" w:fill="FFFFFF"/>
        </w:rPr>
      </w:pPr>
      <w:r>
        <w:rPr>
          <w:rFonts w:cstheme="minorHAnsi"/>
          <w:b/>
          <w:bCs/>
          <w:color w:val="000000"/>
          <w:shd w:val="clear" w:color="auto" w:fill="FFFFFF"/>
        </w:rPr>
        <w:t xml:space="preserve">HYPOXIA INDUCIBLE FACTOR 1 ALPHA (HIF1A) RAT ASSAY KITI TEKNİK ŞARTNAMESİ </w:t>
      </w:r>
    </w:p>
    <w:p>
      <w:pPr>
        <w:pStyle w:val="6"/>
        <w:numPr>
          <w:ilvl w:val="0"/>
          <w:numId w:val="4"/>
        </w:numPr>
        <w:spacing w:after="200" w:line="276" w:lineRule="auto"/>
        <w:rPr>
          <w:rFonts w:cstheme="minorHAnsi"/>
        </w:rPr>
      </w:pPr>
      <w:r>
        <w:rPr>
          <w:rFonts w:cstheme="minorHAnsi"/>
        </w:rPr>
        <w:t>Kit, MicroElisa (</w:t>
      </w:r>
      <w:r>
        <w:rPr>
          <w:rFonts w:cstheme="minorHAnsi"/>
          <w:color w:val="000000"/>
          <w:shd w:val="clear" w:color="auto" w:fill="FFFFFF"/>
        </w:rPr>
        <w:t xml:space="preserve">Double-antibody Sandwich) </w:t>
      </w:r>
      <w:r>
        <w:rPr>
          <w:rFonts w:cstheme="minorHAnsi"/>
        </w:rPr>
        <w:t>yöntemle kantitatif olarak ratlarda serum, plazma ve doku homojenatlarında HIF1-A konsantrasyonu ölçümünü yapabilmelidir.</w:t>
      </w:r>
    </w:p>
    <w:sectPr>
      <w:pgSz w:w="11906" w:h="16838"/>
      <w:pgMar w:top="1417" w:right="1417" w:bottom="1417" w:left="1417" w:header="708" w:footer="708" w:gutter="0"/>
      <w:cols w:space="708"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2"/>
    <w:family w:val="roman"/>
    <w:pitch w:val="default"/>
    <w:sig w:usb0="E0002EFF" w:usb1="C000785B" w:usb2="00000009" w:usb3="00000000" w:csb0="400001FF" w:csb1="FFFF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0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86"/>
    <w:family w:val="swiss"/>
    <w:pitch w:val="default"/>
    <w:sig w:usb0="E4002EFF" w:usb1="C000247B" w:usb2="00000009" w:usb3="00000000" w:csb0="200001FF" w:csb1="00000000"/>
  </w:font>
  <w:font w:name="Calibri">
    <w:panose1 w:val="020F0502020204030204"/>
    <w:charset w:val="A2"/>
    <w:family w:val="swiss"/>
    <w:pitch w:val="default"/>
    <w:sig w:usb0="E4002EFF" w:usb1="C000247B" w:usb2="00000009" w:usb3="00000000" w:csb0="200001FF" w:csb1="00000000"/>
  </w:font>
  <w:font w:name="Calibri">
    <w:panose1 w:val="020F0502020204030204"/>
    <w:charset w:val="00"/>
    <w:family w:val="auto"/>
    <w:pitch w:val="default"/>
    <w:sig w:usb0="E4002EFF" w:usb1="C000247B" w:usb2="00000009" w:usb3="00000000" w:csb0="200001FF" w:csb1="00000000"/>
  </w:font>
  <w:font w:name="Segoe UI">
    <w:panose1 w:val="020B0502040204020203"/>
    <w:charset w:val="A2"/>
    <w:family w:val="swiss"/>
    <w:pitch w:val="default"/>
    <w:sig w:usb0="E4002EFF" w:usb1="C000E47F" w:usb2="00000009" w:usb3="00000000" w:csb0="2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59" w:lineRule="auto"/>
      </w:pPr>
      <w:r>
        <w:separator/>
      </w:r>
    </w:p>
  </w:footnote>
  <w:footnote w:type="continuationSeparator" w:id="1">
    <w:p>
      <w:pPr>
        <w:spacing w:before="0" w:after="0" w:line="259"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CE25DC4"/>
    <w:multiLevelType w:val="multilevel"/>
    <w:tmpl w:val="0CE25DC4"/>
    <w:lvl w:ilvl="0" w:tentative="0">
      <w:start w:val="1"/>
      <w:numFmt w:val="decimal"/>
      <w:lvlText w:val="%1."/>
      <w:lvlJc w:val="left"/>
      <w:pPr>
        <w:ind w:left="720" w:hanging="36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1">
    <w:nsid w:val="28697E70"/>
    <w:multiLevelType w:val="multilevel"/>
    <w:tmpl w:val="28697E70"/>
    <w:lvl w:ilvl="0" w:tentative="0">
      <w:start w:val="1"/>
      <w:numFmt w:val="decimal"/>
      <w:lvlText w:val="%1."/>
      <w:lvlJc w:val="left"/>
      <w:pPr>
        <w:ind w:left="720" w:hanging="360"/>
      </w:pPr>
      <w:rPr>
        <w:rFonts w:hint="default"/>
        <w:b w:val="0"/>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2">
    <w:nsid w:val="5DC40344"/>
    <w:multiLevelType w:val="multilevel"/>
    <w:tmpl w:val="5DC40344"/>
    <w:lvl w:ilvl="0" w:tentative="0">
      <w:start w:val="1"/>
      <w:numFmt w:val="decimal"/>
      <w:lvlText w:val="%1."/>
      <w:lvlJc w:val="left"/>
      <w:pPr>
        <w:ind w:left="720" w:hanging="36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3">
    <w:nsid w:val="7521462F"/>
    <w:multiLevelType w:val="multilevel"/>
    <w:tmpl w:val="7521462F"/>
    <w:lvl w:ilvl="0" w:tentative="0">
      <w:start w:val="1"/>
      <w:numFmt w:val="decimal"/>
      <w:lvlText w:val="%1-"/>
      <w:lvlJc w:val="left"/>
      <w:pPr>
        <w:ind w:left="720" w:hanging="36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num w:numId="1">
    <w:abstractNumId w:val="3"/>
  </w:num>
  <w:num w:numId="2">
    <w:abstractNumId w:val="1"/>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708"/>
  <w:hyphenationZone w:val="425"/>
  <w:characterSpacingControl w:val="doNotCompress"/>
  <w:footnotePr>
    <w:footnote w:id="0"/>
    <w:footnote w:id="1"/>
  </w:footnotePr>
  <w:endnotePr>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7202"/>
    <w:rsid w:val="00001E69"/>
    <w:rsid w:val="00015804"/>
    <w:rsid w:val="000517BE"/>
    <w:rsid w:val="00067541"/>
    <w:rsid w:val="00082D4E"/>
    <w:rsid w:val="000D17B3"/>
    <w:rsid w:val="000D7EB0"/>
    <w:rsid w:val="000F0484"/>
    <w:rsid w:val="0012137A"/>
    <w:rsid w:val="0012364F"/>
    <w:rsid w:val="00141AAC"/>
    <w:rsid w:val="0014675D"/>
    <w:rsid w:val="001810E3"/>
    <w:rsid w:val="00185105"/>
    <w:rsid w:val="0019347E"/>
    <w:rsid w:val="001A2D02"/>
    <w:rsid w:val="001A3D05"/>
    <w:rsid w:val="001A7A13"/>
    <w:rsid w:val="001D169F"/>
    <w:rsid w:val="002113AA"/>
    <w:rsid w:val="00213A9B"/>
    <w:rsid w:val="00222DBB"/>
    <w:rsid w:val="00227516"/>
    <w:rsid w:val="00232327"/>
    <w:rsid w:val="00234BFB"/>
    <w:rsid w:val="00266AEC"/>
    <w:rsid w:val="002A4ACB"/>
    <w:rsid w:val="002B2553"/>
    <w:rsid w:val="002C08E9"/>
    <w:rsid w:val="002C6F42"/>
    <w:rsid w:val="002D199A"/>
    <w:rsid w:val="00300116"/>
    <w:rsid w:val="00346090"/>
    <w:rsid w:val="003469BC"/>
    <w:rsid w:val="00351BD4"/>
    <w:rsid w:val="00354F83"/>
    <w:rsid w:val="00361BD4"/>
    <w:rsid w:val="003645AE"/>
    <w:rsid w:val="00364FCF"/>
    <w:rsid w:val="00370AAE"/>
    <w:rsid w:val="00376AD4"/>
    <w:rsid w:val="00396F37"/>
    <w:rsid w:val="003A69D8"/>
    <w:rsid w:val="003B0E30"/>
    <w:rsid w:val="003C1F93"/>
    <w:rsid w:val="003C6344"/>
    <w:rsid w:val="003D144B"/>
    <w:rsid w:val="003D37B2"/>
    <w:rsid w:val="003F2F97"/>
    <w:rsid w:val="00403614"/>
    <w:rsid w:val="00413269"/>
    <w:rsid w:val="00425A96"/>
    <w:rsid w:val="00430446"/>
    <w:rsid w:val="00434876"/>
    <w:rsid w:val="00444BE0"/>
    <w:rsid w:val="00447067"/>
    <w:rsid w:val="00453CE9"/>
    <w:rsid w:val="00455350"/>
    <w:rsid w:val="004779E4"/>
    <w:rsid w:val="00480278"/>
    <w:rsid w:val="00485C14"/>
    <w:rsid w:val="00493A48"/>
    <w:rsid w:val="004C44F9"/>
    <w:rsid w:val="004D0365"/>
    <w:rsid w:val="004D1974"/>
    <w:rsid w:val="004D7F4D"/>
    <w:rsid w:val="004F0A39"/>
    <w:rsid w:val="004F426E"/>
    <w:rsid w:val="004F4340"/>
    <w:rsid w:val="004F6F54"/>
    <w:rsid w:val="0053074A"/>
    <w:rsid w:val="00562321"/>
    <w:rsid w:val="005657F1"/>
    <w:rsid w:val="005920A8"/>
    <w:rsid w:val="005B3B45"/>
    <w:rsid w:val="005C4B27"/>
    <w:rsid w:val="005D0C54"/>
    <w:rsid w:val="005D5E04"/>
    <w:rsid w:val="005D6FDF"/>
    <w:rsid w:val="005E0DD8"/>
    <w:rsid w:val="005E3B30"/>
    <w:rsid w:val="00630C83"/>
    <w:rsid w:val="00633731"/>
    <w:rsid w:val="00634B1E"/>
    <w:rsid w:val="006408B8"/>
    <w:rsid w:val="006420C9"/>
    <w:rsid w:val="00652009"/>
    <w:rsid w:val="00652539"/>
    <w:rsid w:val="006863EA"/>
    <w:rsid w:val="00697C9C"/>
    <w:rsid w:val="006B7ED2"/>
    <w:rsid w:val="006C49D6"/>
    <w:rsid w:val="006F63B8"/>
    <w:rsid w:val="007154ED"/>
    <w:rsid w:val="00717202"/>
    <w:rsid w:val="00742205"/>
    <w:rsid w:val="00744A60"/>
    <w:rsid w:val="00761A2D"/>
    <w:rsid w:val="00774E8A"/>
    <w:rsid w:val="007A52D8"/>
    <w:rsid w:val="007A5A6C"/>
    <w:rsid w:val="007C1304"/>
    <w:rsid w:val="007D35CC"/>
    <w:rsid w:val="007E6DB8"/>
    <w:rsid w:val="007F1847"/>
    <w:rsid w:val="007F57F9"/>
    <w:rsid w:val="007F6358"/>
    <w:rsid w:val="00800DDD"/>
    <w:rsid w:val="00803517"/>
    <w:rsid w:val="008054DB"/>
    <w:rsid w:val="008064D9"/>
    <w:rsid w:val="00810A60"/>
    <w:rsid w:val="00870620"/>
    <w:rsid w:val="008762CB"/>
    <w:rsid w:val="008956DD"/>
    <w:rsid w:val="008B0FE8"/>
    <w:rsid w:val="008B1C0B"/>
    <w:rsid w:val="008C4714"/>
    <w:rsid w:val="008F2EE8"/>
    <w:rsid w:val="008F7B8E"/>
    <w:rsid w:val="00900937"/>
    <w:rsid w:val="00910A02"/>
    <w:rsid w:val="00965AB1"/>
    <w:rsid w:val="00967E4A"/>
    <w:rsid w:val="00967F20"/>
    <w:rsid w:val="009716B8"/>
    <w:rsid w:val="00995FAC"/>
    <w:rsid w:val="009B5351"/>
    <w:rsid w:val="009B6358"/>
    <w:rsid w:val="009C1C9F"/>
    <w:rsid w:val="009D6839"/>
    <w:rsid w:val="009E34B4"/>
    <w:rsid w:val="00A07520"/>
    <w:rsid w:val="00A102EE"/>
    <w:rsid w:val="00A17835"/>
    <w:rsid w:val="00A34DDD"/>
    <w:rsid w:val="00A67509"/>
    <w:rsid w:val="00AA44D4"/>
    <w:rsid w:val="00AA51FE"/>
    <w:rsid w:val="00AB3430"/>
    <w:rsid w:val="00AC3C7D"/>
    <w:rsid w:val="00AF3B54"/>
    <w:rsid w:val="00B012A8"/>
    <w:rsid w:val="00B27966"/>
    <w:rsid w:val="00B33631"/>
    <w:rsid w:val="00B4634F"/>
    <w:rsid w:val="00B52575"/>
    <w:rsid w:val="00B924EC"/>
    <w:rsid w:val="00BA0F97"/>
    <w:rsid w:val="00BA4537"/>
    <w:rsid w:val="00BC503F"/>
    <w:rsid w:val="00BD022A"/>
    <w:rsid w:val="00BD223F"/>
    <w:rsid w:val="00BD6C08"/>
    <w:rsid w:val="00C45289"/>
    <w:rsid w:val="00C47C98"/>
    <w:rsid w:val="00C676BB"/>
    <w:rsid w:val="00C74E8D"/>
    <w:rsid w:val="00C97E4C"/>
    <w:rsid w:val="00CA4A23"/>
    <w:rsid w:val="00CC6BBE"/>
    <w:rsid w:val="00CC778C"/>
    <w:rsid w:val="00CD29D4"/>
    <w:rsid w:val="00CF417E"/>
    <w:rsid w:val="00CF4ACC"/>
    <w:rsid w:val="00D03036"/>
    <w:rsid w:val="00D056DA"/>
    <w:rsid w:val="00D154E9"/>
    <w:rsid w:val="00D26719"/>
    <w:rsid w:val="00D41C26"/>
    <w:rsid w:val="00D441D1"/>
    <w:rsid w:val="00D4442C"/>
    <w:rsid w:val="00D44DD2"/>
    <w:rsid w:val="00D617ED"/>
    <w:rsid w:val="00DB477A"/>
    <w:rsid w:val="00DD103E"/>
    <w:rsid w:val="00DE144B"/>
    <w:rsid w:val="00E0136C"/>
    <w:rsid w:val="00E17C4C"/>
    <w:rsid w:val="00E5134C"/>
    <w:rsid w:val="00E66D2D"/>
    <w:rsid w:val="00E7612C"/>
    <w:rsid w:val="00E94B9A"/>
    <w:rsid w:val="00EA309B"/>
    <w:rsid w:val="00EB181C"/>
    <w:rsid w:val="00ED22D7"/>
    <w:rsid w:val="00EF090A"/>
    <w:rsid w:val="00F36728"/>
    <w:rsid w:val="00F50010"/>
    <w:rsid w:val="00F501BB"/>
    <w:rsid w:val="00F65E6C"/>
    <w:rsid w:val="00FA202C"/>
    <w:rsid w:val="00FA765F"/>
    <w:rsid w:val="00FB1228"/>
    <w:rsid w:val="00FB1A4E"/>
    <w:rsid w:val="00FF6551"/>
    <w:rsid w:val="74AA73D2"/>
  </w:rsids>
  <m:mathPr>
    <m:mathFont m:val="Cambria Math"/>
    <m:brkBin m:val="before"/>
    <m:brkBinSub m:val="--"/>
    <m:smallFrac m:val="0"/>
    <m:dispDef/>
    <m:lMargin m:val="0"/>
    <m:rMargin m:val="0"/>
    <m:defJc m:val="centerGroup"/>
    <m:wrapIndent m:val="1440"/>
    <m:intLim m:val="subSup"/>
    <m:naryLim m:val="undOvr"/>
  </m:mathPr>
  <w:themeFontLang w:val="tr-TR"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160" w:line="259" w:lineRule="auto"/>
    </w:pPr>
    <w:rPr>
      <w:rFonts w:asciiTheme="minorHAnsi" w:hAnsiTheme="minorHAnsi" w:eastAsiaTheme="minorHAnsi" w:cstheme="minorBidi"/>
      <w:sz w:val="22"/>
      <w:szCs w:val="22"/>
      <w:lang w:val="tr-TR" w:eastAsia="en-US" w:bidi="ar-SA"/>
    </w:rPr>
  </w:style>
  <w:style w:type="character" w:default="1" w:styleId="2">
    <w:name w:val="Default Paragraph Font"/>
    <w:semiHidden/>
    <w:unhideWhenUsed/>
    <w:uiPriority w:val="1"/>
  </w:style>
  <w:style w:type="table" w:default="1" w:styleId="3">
    <w:name w:val="Normal Table"/>
    <w:semiHidden/>
    <w:unhideWhenUsed/>
    <w:uiPriority w:val="99"/>
    <w:tblPr>
      <w:tblCellMar>
        <w:top w:w="0" w:type="dxa"/>
        <w:left w:w="108" w:type="dxa"/>
        <w:bottom w:w="0" w:type="dxa"/>
        <w:right w:w="108" w:type="dxa"/>
      </w:tblCellMar>
    </w:tblPr>
  </w:style>
  <w:style w:type="paragraph" w:styleId="4">
    <w:name w:val="Balloon Text"/>
    <w:basedOn w:val="1"/>
    <w:link w:val="7"/>
    <w:semiHidden/>
    <w:unhideWhenUsed/>
    <w:uiPriority w:val="99"/>
    <w:pPr>
      <w:spacing w:after="0" w:line="240" w:lineRule="auto"/>
    </w:pPr>
    <w:rPr>
      <w:rFonts w:ascii="Segoe UI" w:hAnsi="Segoe UI" w:cs="Segoe UI"/>
      <w:sz w:val="18"/>
      <w:szCs w:val="18"/>
    </w:rPr>
  </w:style>
  <w:style w:type="character" w:styleId="5">
    <w:name w:val="Hyperlink"/>
    <w:basedOn w:val="2"/>
    <w:semiHidden/>
    <w:unhideWhenUsed/>
    <w:uiPriority w:val="99"/>
    <w:rPr>
      <w:color w:val="0000FF"/>
      <w:u w:val="single"/>
    </w:rPr>
  </w:style>
  <w:style w:type="paragraph" w:styleId="6">
    <w:name w:val="List Paragraph"/>
    <w:basedOn w:val="1"/>
    <w:qFormat/>
    <w:uiPriority w:val="34"/>
    <w:pPr>
      <w:ind w:left="720"/>
      <w:contextualSpacing/>
    </w:pPr>
  </w:style>
  <w:style w:type="character" w:customStyle="1" w:styleId="7">
    <w:name w:val="Balon Metni Char"/>
    <w:basedOn w:val="2"/>
    <w:link w:val="4"/>
    <w:semiHidden/>
    <w:uiPriority w:val="99"/>
    <w:rPr>
      <w:rFonts w:ascii="Segoe UI" w:hAnsi="Segoe UI" w:cs="Segoe UI"/>
      <w:sz w:val="18"/>
      <w:szCs w:val="18"/>
    </w:rPr>
  </w:style>
  <w:style w:type="paragraph" w:customStyle="1" w:styleId="8">
    <w:name w:val="Default"/>
    <w:uiPriority w:val="0"/>
    <w:pPr>
      <w:autoSpaceDE w:val="0"/>
      <w:autoSpaceDN w:val="0"/>
      <w:adjustRightInd w:val="0"/>
      <w:spacing w:after="0" w:line="240" w:lineRule="auto"/>
    </w:pPr>
    <w:rPr>
      <w:rFonts w:ascii="Calibri" w:hAnsi="Calibri" w:eastAsia="Calibri" w:cs="Calibri"/>
      <w:color w:val="000000"/>
      <w:sz w:val="24"/>
      <w:szCs w:val="24"/>
      <w:lang w:val="tr-TR" w:eastAsia="en-US"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Pages>
  <Words>358</Words>
  <Characters>2044</Characters>
  <Lines>17</Lines>
  <Paragraphs>4</Paragraphs>
  <TotalTime>12</TotalTime>
  <ScaleCrop>false</ScaleCrop>
  <LinksUpToDate>false</LinksUpToDate>
  <CharactersWithSpaces>2398</CharactersWithSpaces>
  <Application>WPS Office_11.2.0.11440_F1E327BC-269C-435d-A152-05C5408002CA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2022-07-27T09:04:00Z</dcterms:created>
  <dc:creator>USER</dc:creator>
  <cp:lastModifiedBy>kubranur.unal</cp:lastModifiedBy>
  <cp:lastPrinted>2022-12-20T09:00:35Z</cp:lastPrinted>
  <dcterms:modified xsi:type="dcterms:W3CDTF">2022-12-20T09:08:33Z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1033-11.2.0.11440</vt:lpwstr>
  </property>
  <property fmtid="{D5CDD505-2E9C-101B-9397-08002B2CF9AE}" pid="3" name="ICV">
    <vt:lpwstr>7063B7D86B084935B1F890ABA0E78201</vt:lpwstr>
  </property>
</Properties>
</file>